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2E" w:rsidRDefault="00406A2E" w:rsidP="00406A2E">
      <w:pPr>
        <w:ind w:left="567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Приложение 8</w:t>
      </w:r>
    </w:p>
    <w:p w:rsidR="00406A2E" w:rsidRDefault="00406A2E" w:rsidP="00406A2E">
      <w:pPr>
        <w:ind w:left="567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к Приказу МКОУ «</w:t>
      </w:r>
      <w:proofErr w:type="spellStart"/>
      <w:r w:rsidR="0064568F">
        <w:rPr>
          <w:rStyle w:val="fontstyle01"/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 w:rsidR="0064568F">
        <w:rPr>
          <w:rStyle w:val="fontstyle01"/>
          <w:rFonts w:ascii="Times New Roman" w:hAnsi="Times New Roman" w:cs="Times New Roman"/>
          <w:sz w:val="28"/>
          <w:szCs w:val="28"/>
        </w:rPr>
        <w:t xml:space="preserve"> СОШ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»</w:t>
      </w:r>
    </w:p>
    <w:p w:rsidR="00406A2E" w:rsidRPr="0064568F" w:rsidRDefault="0064568F" w:rsidP="00406A2E">
      <w:pPr>
        <w:ind w:left="567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от 23.05</w:t>
      </w:r>
      <w:r w:rsidR="00406A2E"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.2019 г. № </w:t>
      </w:r>
    </w:p>
    <w:p w:rsidR="00406A2E" w:rsidRDefault="00406A2E" w:rsidP="00406A2E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bookmarkStart w:id="0" w:name="_GoBack"/>
      <w:r w:rsidRPr="00406A2E">
        <w:rPr>
          <w:rStyle w:val="fontstyle21"/>
          <w:rFonts w:ascii="Times New Roman" w:hAnsi="Times New Roman" w:cs="Times New Roman"/>
          <w:sz w:val="28"/>
          <w:szCs w:val="28"/>
        </w:rPr>
        <w:t xml:space="preserve">Дизайн-проект и проект </w:t>
      </w:r>
      <w:proofErr w:type="spellStart"/>
      <w:r w:rsidRPr="00406A2E">
        <w:rPr>
          <w:rStyle w:val="fontstyle21"/>
          <w:rFonts w:ascii="Times New Roman" w:hAnsi="Times New Roman" w:cs="Times New Roman"/>
          <w:sz w:val="28"/>
          <w:szCs w:val="28"/>
        </w:rPr>
        <w:t>зонированияЦентра</w:t>
      </w:r>
      <w:bookmarkEnd w:id="0"/>
      <w:proofErr w:type="spellEnd"/>
      <w:r w:rsidRPr="00406A2E">
        <w:rPr>
          <w:rStyle w:val="fontstyle21"/>
          <w:rFonts w:ascii="Times New Roman" w:hAnsi="Times New Roman" w:cs="Times New Roman"/>
          <w:sz w:val="28"/>
          <w:szCs w:val="28"/>
        </w:rPr>
        <w:t xml:space="preserve"> цифрового и гуманитарного профилей «Точка роста</w:t>
      </w:r>
      <w:proofErr w:type="gramStart"/>
      <w:r w:rsidRPr="00406A2E">
        <w:rPr>
          <w:rStyle w:val="fontstyle21"/>
          <w:rFonts w:ascii="Times New Roman" w:hAnsi="Times New Roman" w:cs="Times New Roman"/>
          <w:sz w:val="28"/>
          <w:szCs w:val="28"/>
        </w:rPr>
        <w:t>»К</w:t>
      </w:r>
      <w:proofErr w:type="gramEnd"/>
      <w:r w:rsidRPr="00406A2E">
        <w:rPr>
          <w:rStyle w:val="fontstyle21"/>
          <w:rFonts w:ascii="Times New Roman" w:hAnsi="Times New Roman" w:cs="Times New Roman"/>
          <w:sz w:val="28"/>
          <w:szCs w:val="28"/>
        </w:rPr>
        <w:t>онцепция Дизайн-проекта</w:t>
      </w:r>
    </w:p>
    <w:p w:rsidR="00406A2E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Основная идея создания нового структурного подразделения МКОУ «</w:t>
      </w:r>
      <w:proofErr w:type="spellStart"/>
      <w:r w:rsidR="0064568F">
        <w:rPr>
          <w:rStyle w:val="fontstyle01"/>
          <w:rFonts w:ascii="Times New Roman" w:hAnsi="Times New Roman" w:cs="Times New Roman"/>
          <w:sz w:val="28"/>
          <w:szCs w:val="28"/>
        </w:rPr>
        <w:t>Деличобанская</w:t>
      </w:r>
      <w:proofErr w:type="spellEnd"/>
      <w:r w:rsidR="0064568F">
        <w:rPr>
          <w:rStyle w:val="fontstyle01"/>
          <w:rFonts w:ascii="Times New Roman" w:hAnsi="Times New Roman" w:cs="Times New Roman"/>
          <w:sz w:val="28"/>
          <w:szCs w:val="28"/>
        </w:rPr>
        <w:t xml:space="preserve"> СОШ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.» — Центра образования цифрового и гуманитарного</w:t>
      </w:r>
      <w:r w:rsidR="0064568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профилей (далее - Центра) - состоит в обеспечении условий обучения,</w:t>
      </w:r>
      <w:r w:rsidR="0064568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способствующего формированию у детей современных технологических и</w:t>
      </w:r>
      <w:r w:rsidR="0064568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гуманитарных навыков, в том числе по предметным областям «Технология»</w:t>
      </w:r>
      <w:proofErr w:type="gram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,«</w:t>
      </w:r>
      <w:proofErr w:type="gram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Информатика», «Основы безопасности жизнедеятельности», других</w:t>
      </w:r>
      <w:r w:rsidR="0064568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предметных областей, а также внеурочной деятельности и в рамках</w:t>
      </w:r>
      <w:r w:rsidR="0064568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реализации дополнительных общеобразовательных программ. Согласноосновным принципам создания и функционирования центра площадь двухпомещений, в которых располагается Центр, составляет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77,6 и 48,8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кв</w:t>
      </w:r>
      <w:proofErr w:type="gram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.м</w:t>
      </w:r>
      <w:proofErr w:type="gram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етрови включает:</w:t>
      </w:r>
    </w:p>
    <w:p w:rsidR="00406A2E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• зону формирования цифровых и гуманитарных компетенций, в т.ч. врамках предметной области «Технология», «Информатика», «ОБЖ»;</w:t>
      </w:r>
    </w:p>
    <w:p w:rsidR="00406A2E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, шахматную гостиную, </w:t>
      </w:r>
      <w:proofErr w:type="spell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медиазону</w:t>
      </w:r>
      <w:proofErr w:type="spell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406A2E" w:rsidRDefault="00406A2E" w:rsidP="00406A2E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06A2E">
        <w:rPr>
          <w:rStyle w:val="fontstyle21"/>
          <w:rFonts w:ascii="Times New Roman" w:hAnsi="Times New Roman" w:cs="Times New Roman"/>
          <w:sz w:val="28"/>
          <w:szCs w:val="28"/>
        </w:rPr>
        <w:t>Описание функциональных зонЗона формирования цифровых и гуманитарных компетенций.</w:t>
      </w:r>
    </w:p>
    <w:p w:rsidR="00406A2E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Для создания Кабинета формирования цифровых и гуманитарныхнавыков используется кабинет площадью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77,6 кв</w:t>
      </w:r>
      <w:proofErr w:type="gram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.м</w:t>
      </w:r>
      <w:proofErr w:type="gram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 (Информатика,</w:t>
      </w:r>
      <w:r w:rsidR="0064568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Технология, ОБЖ). Зона формирования цифровых и гуманитарных компетенцийпредставляет собой образовательное пространство, создающее условия дляформирования цифровых и гуманитарных компетенций в рамках изученияпредметной области «Технология», «Информатика», «ОБЖ».Инфраструктура данной зоны включает в себя модули для изучениявышеперечисленных предметных областей, при этом особенностьюматериально-технического оснащения данных модулей является егосформированность с учетом изменений концептуальных подходов к процессупреподавания данных предметов. Планировка данной зоны позволитиспользовать в процессе преподавания предметных областей «Технология»,«Информатика», «ОБЖ» современные ресурсы и инструменты дляорганизации цифровых обучающих игр, деятельностных образовательныхпрактик, лабораторий, использования цифровых симуляторов, программдистанционного погружения в различные форматы образовательной среды ит.д.</w:t>
      </w:r>
    </w:p>
    <w:p w:rsidR="00406A2E" w:rsidRDefault="00406A2E" w:rsidP="00406A2E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406A2E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Помещение для проектной деятельности</w:t>
      </w:r>
    </w:p>
    <w:p w:rsidR="00406A2E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Для оборудования выделен кабинет площадью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48,8 кв</w:t>
      </w:r>
      <w:proofErr w:type="gram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.м</w:t>
      </w:r>
      <w:proofErr w:type="gram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етров</w:t>
      </w:r>
    </w:p>
    <w:p w:rsidR="00406A2E" w:rsidRDefault="00406A2E" w:rsidP="00406A2E">
      <w:pPr>
        <w:jc w:val="center"/>
        <w:rPr>
          <w:rStyle w:val="fontstyle31"/>
          <w:rFonts w:ascii="Times New Roman" w:hAnsi="Times New Roman" w:cs="Times New Roman"/>
          <w:sz w:val="28"/>
          <w:szCs w:val="28"/>
        </w:rPr>
      </w:pPr>
      <w:r w:rsidRPr="00406A2E">
        <w:rPr>
          <w:rStyle w:val="fontstyle31"/>
          <w:rFonts w:ascii="Times New Roman" w:hAnsi="Times New Roman" w:cs="Times New Roman"/>
          <w:sz w:val="28"/>
          <w:szCs w:val="28"/>
        </w:rPr>
        <w:t>Зона «Коворкинг»</w:t>
      </w:r>
    </w:p>
    <w:p w:rsidR="00406A2E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Зона «Коворкинг» — зона для организации личного пространства иработы небольшими командами. Должна быть организована как помещение,разделённое на отдельные или общие рабочие зоны с доступом в Интернет,полностью оборудованные оргтехникой. Зона «Коворкинг» оборудована всемнеобходимым для осуществления образовательной деятельности, основаннойна принципах мобильности, доступности, интерактивности, деятельности,насыщенности и открытости. Зонирование коворкинга и его материально-техническая база позволяют максимально эффективно решать задачиформирования цифровых и гуманитарных компетенций учащихся. Наличие в</w:t>
      </w:r>
      <w:r w:rsidR="0064568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медиа</w:t>
      </w:r>
      <w:proofErr w:type="spellEnd"/>
      <w:r w:rsidR="0064568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зоне большого сенсорного экрана, мобильного компьютерного класса</w:t>
      </w:r>
      <w:proofErr w:type="gram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,и</w:t>
      </w:r>
      <w:proofErr w:type="gram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нтернет-библиотеки позволит эффективно организовать интерактивныемероприятия как на самой площадке коворкинга, так и в дистанционномрежиме в условиях сетевого взаимодействия. Созданные условия позволятизменить методику преподавания в ОУ через проведение коллективных игрупповых тренингов, применение проектных и игровых технологий сиспользованием ресурсов информационной среды и цифровыхинструментов. На базе коворкингавыделены медиа-зона и зона дляпроектной деятельности. Правильная организация коворкинга создастусловия для взаимодействия всех участников образовательного процесса сцелью организации проектной деятельности и образовательных событий,способствующих формированию компетенций и навыков, позволяющихстать конкурентоспособным в условиях цифровой экономики.</w:t>
      </w:r>
    </w:p>
    <w:p w:rsidR="00406A2E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proofErr w:type="spell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Медиа</w:t>
      </w:r>
      <w:proofErr w:type="spellEnd"/>
      <w:r w:rsidR="0064568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зону/</w:t>
      </w:r>
      <w:proofErr w:type="spell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="0064568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планируется разместить</w:t>
      </w:r>
      <w:r w:rsidR="0064568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рядом с площадью для</w:t>
      </w:r>
      <w:r w:rsidR="0064568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коворкинга</w:t>
      </w:r>
      <w:proofErr w:type="spell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, что позволит создать условия для взаимодействия всехучастников образовательного процесса с целью организации проектнойдеятельности и образовательных событий, способствующих формированиюкомпетенций и навыков, позволяющих стать конкурентоспособным вусловиях цифровой экономики.</w:t>
      </w:r>
    </w:p>
    <w:p w:rsidR="00406A2E" w:rsidRPr="00406A2E" w:rsidRDefault="00406A2E" w:rsidP="00B7795A">
      <w:pPr>
        <w:jc w:val="center"/>
        <w:rPr>
          <w:rStyle w:val="fontstyle31"/>
          <w:rFonts w:ascii="Times New Roman" w:hAnsi="Times New Roman" w:cs="Times New Roman"/>
          <w:sz w:val="28"/>
          <w:szCs w:val="28"/>
        </w:rPr>
      </w:pPr>
      <w:r w:rsidRPr="00406A2E">
        <w:rPr>
          <w:rStyle w:val="fontstyle31"/>
          <w:rFonts w:ascii="Times New Roman" w:hAnsi="Times New Roman" w:cs="Times New Roman"/>
          <w:sz w:val="28"/>
          <w:szCs w:val="28"/>
        </w:rPr>
        <w:t>Зона «Шахматная гостиная»</w:t>
      </w:r>
    </w:p>
    <w:p w:rsidR="00406A2E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Выделенная многофункциональная зона. Обеспечивает каквозможность обучения игре в шахматы, так и возможность проводить матчи,играть в свободное время, осуществлять анализ и разбор шахматных партий,технически оборудована компьютерами с подключением к сети интернет иэкраном, шахматным оборудованием в достаточном количестве.</w:t>
      </w: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95A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Дизайн-проект</w:t>
      </w: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Общее цветовое решение для Центра:</w:t>
      </w: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стены ** нейтральный светлый, пол — светлые оттенки, мебель — по</w:t>
      </w: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возможности сочетание красного и белого цветов.</w:t>
      </w: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Для оформления стен: на одной стене помещения акцент в видеграфического изображенияНа входной группе на одной из стен помещения будет расположенлоготип Центра</w:t>
      </w:r>
      <w:proofErr w:type="gramStart"/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.Т</w:t>
      </w:r>
      <w:proofErr w:type="gramEnd"/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акже, в коридоре Центра находится стенд, оформленный согласнобрендбука «Точка роста» в черно-красной цветовой гамме.</w:t>
      </w: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06A2E" w:rsidRPr="00B7795A" w:rsidRDefault="00406A2E" w:rsidP="00406A2E">
      <w:pPr>
        <w:jc w:val="both"/>
        <w:rPr>
          <w:rStyle w:val="fontstyle51"/>
          <w:rFonts w:ascii="Times New Roman" w:hAnsi="Times New Roman" w:cs="Times New Roman"/>
          <w:sz w:val="28"/>
          <w:szCs w:val="28"/>
        </w:rPr>
      </w:pP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 xml:space="preserve">ТОЧКА </w:t>
      </w:r>
      <w:r w:rsidRPr="00B7795A">
        <w:rPr>
          <w:rStyle w:val="fontstyle41"/>
          <w:rFonts w:ascii="Times New Roman" w:hAnsi="Times New Roman" w:cs="Times New Roman"/>
          <w:sz w:val="28"/>
          <w:szCs w:val="28"/>
        </w:rPr>
        <w:t xml:space="preserve">^ </w:t>
      </w: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РОСТА</w:t>
      </w:r>
      <w:r w:rsidRPr="00B779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 w:rsidRPr="00B7795A">
        <w:rPr>
          <w:rStyle w:val="fontstyle51"/>
          <w:rFonts w:ascii="Times New Roman" w:hAnsi="Times New Roman" w:cs="Times New Roman"/>
          <w:sz w:val="28"/>
          <w:szCs w:val="28"/>
        </w:rPr>
        <w:t>Центр образования цифровогои гуманитарного профилей</w:t>
      </w: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В зависимости от объемов средств муниципальных бюджетовпредусмотрены:</w:t>
      </w: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- изготовление бейджей для педагогов и обучающихся;</w:t>
      </w:r>
    </w:p>
    <w:p w:rsidR="009A3395" w:rsidRPr="00406A2E" w:rsidRDefault="00406A2E" w:rsidP="0040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- 2 баннера для оформления помещений.</w:t>
      </w:r>
    </w:p>
    <w:sectPr w:rsidR="009A3395" w:rsidRPr="00406A2E" w:rsidSect="0078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Gothic-Heav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A2E"/>
    <w:rsid w:val="00406A2E"/>
    <w:rsid w:val="0064568F"/>
    <w:rsid w:val="00786E43"/>
    <w:rsid w:val="009A3395"/>
    <w:rsid w:val="00B7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06A2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406A2E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406A2E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406A2E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51">
    <w:name w:val="fontstyle51"/>
    <w:basedOn w:val="a0"/>
    <w:rsid w:val="00406A2E"/>
    <w:rPr>
      <w:rFonts w:ascii="FranklinGothic-Heavy" w:hAnsi="FranklinGothic-Heavy" w:hint="default"/>
      <w:b w:val="0"/>
      <w:bCs w:val="0"/>
      <w:i w:val="0"/>
      <w:iCs w:val="0"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Vagif</dc:creator>
  <cp:keywords/>
  <dc:description/>
  <cp:lastModifiedBy>гюльдер</cp:lastModifiedBy>
  <cp:revision>3</cp:revision>
  <dcterms:created xsi:type="dcterms:W3CDTF">2019-06-16T17:50:00Z</dcterms:created>
  <dcterms:modified xsi:type="dcterms:W3CDTF">2019-06-27T20:53:00Z</dcterms:modified>
</cp:coreProperties>
</file>